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hint="eastAsia" w:ascii="黑体" w:hAnsi="黑体" w:eastAsia="黑体" w:cs="黑体"/>
          <w:b/>
          <w:bCs/>
          <w:sz w:val="30"/>
          <w:szCs w:val="30"/>
          <w:lang w:val="en-US" w:eastAsia="zh-CN"/>
        </w:rPr>
      </w:pPr>
      <w:bookmarkStart w:id="0" w:name="_GoBack"/>
      <w:bookmarkEnd w:id="0"/>
      <w:r>
        <w:rPr>
          <w:rFonts w:hint="eastAsia" w:ascii="黑体" w:hAnsi="黑体" w:eastAsia="黑体" w:cs="黑体"/>
          <w:b/>
          <w:bCs/>
          <w:sz w:val="30"/>
          <w:szCs w:val="30"/>
          <w:lang w:val="en-US" w:eastAsia="zh-CN"/>
        </w:rPr>
        <w:t>8个分会主题要求</w:t>
      </w:r>
    </w:p>
    <w:p>
      <w:pPr>
        <w:ind w:firstLine="562" w:firstLineChars="200"/>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val="en-US" w:eastAsia="zh-CN"/>
        </w:rPr>
        <w:t>本年会设立8个主题分会，</w:t>
      </w:r>
      <w:r>
        <w:rPr>
          <w:rFonts w:hint="eastAsia" w:ascii="Times New Roman" w:hAnsi="Times New Roman" w:eastAsia="仿宋_GB2312" w:cs="Times New Roman"/>
          <w:b/>
          <w:bCs/>
          <w:sz w:val="28"/>
          <w:szCs w:val="28"/>
        </w:rPr>
        <w:t>交流内容涵盖太赫兹生物物理学及相关领域的研究和应用，欢迎各位专家学者及研究生踊跃投稿，</w:t>
      </w:r>
      <w:r>
        <w:rPr>
          <w:rFonts w:hint="eastAsia" w:ascii="Times New Roman" w:hAnsi="Times New Roman" w:eastAsia="仿宋_GB2312" w:cs="Times New Roman"/>
          <w:b/>
          <w:bCs/>
          <w:sz w:val="28"/>
          <w:szCs w:val="28"/>
          <w:lang w:val="en-US" w:eastAsia="zh-CN"/>
        </w:rPr>
        <w:t>8个主题分会</w:t>
      </w:r>
      <w:r>
        <w:rPr>
          <w:rFonts w:hint="eastAsia" w:ascii="Times New Roman" w:hAnsi="Times New Roman" w:eastAsia="仿宋_GB2312" w:cs="Times New Roman"/>
          <w:b/>
          <w:bCs/>
          <w:sz w:val="28"/>
          <w:szCs w:val="28"/>
        </w:rPr>
        <w:t>具体要求</w:t>
      </w:r>
      <w:r>
        <w:rPr>
          <w:rFonts w:hint="eastAsia" w:ascii="Times New Roman" w:hAnsi="Times New Roman" w:eastAsia="仿宋_GB2312" w:cs="Times New Roman"/>
          <w:b/>
          <w:bCs/>
          <w:sz w:val="28"/>
          <w:szCs w:val="28"/>
          <w:lang w:val="en-US" w:eastAsia="zh-CN"/>
        </w:rPr>
        <w:t>如下</w:t>
      </w:r>
      <w:r>
        <w:rPr>
          <w:rFonts w:hint="eastAsia" w:ascii="Times New Roman" w:hAnsi="Times New Roman" w:eastAsia="仿宋_GB2312" w:cs="Times New Roman"/>
          <w:b/>
          <w:bCs/>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 </w:t>
      </w:r>
      <w:r>
        <w:rPr>
          <w:rFonts w:ascii="Times New Roman" w:hAnsi="Times New Roman" w:eastAsia="仿宋_GB2312" w:cs="Times New Roman"/>
          <w:b/>
          <w:bCs/>
          <w:sz w:val="28"/>
          <w:szCs w:val="28"/>
        </w:rPr>
        <w:t>太赫兹源</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重点涵盖太赫兹源在理论模拟、结构设计、器件研制、系统构建及性能测试等方面最新研究工作，包括但不限于：</w:t>
      </w:r>
      <w:r>
        <w:rPr>
          <w:rFonts w:ascii="Times New Roman" w:hAnsi="Times New Roman" w:eastAsia="仿宋_GB2312" w:cs="Times New Roman"/>
          <w:sz w:val="28"/>
          <w:szCs w:val="28"/>
        </w:rPr>
        <w:t>固态太赫兹源</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基于光电子学的太赫兹源</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基于光学非线性效应的太赫兹源</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太赫兹自由电子激光器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自旋太赫兹源</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高温超导太赫兹源</w:t>
      </w:r>
      <w:r>
        <w:rPr>
          <w:rFonts w:hint="eastAsia" w:ascii="Times New Roman" w:hAnsi="Times New Roman" w:eastAsia="仿宋_GB2312" w:cs="Times New Roman"/>
          <w:sz w:val="28"/>
          <w:szCs w:val="28"/>
        </w:rPr>
        <w:t>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b/>
          <w:bCs/>
          <w:sz w:val="28"/>
          <w:szCs w:val="28"/>
        </w:rPr>
        <w:t>太赫兹探测器</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重点涵盖太赫兹探测器及其应用等方面最新研究工作，包括但不限于：</w:t>
      </w:r>
      <w:r>
        <w:rPr>
          <w:rFonts w:ascii="Times New Roman" w:hAnsi="Times New Roman" w:eastAsia="仿宋_GB2312" w:cs="Times New Roman"/>
          <w:sz w:val="28"/>
          <w:szCs w:val="28"/>
        </w:rPr>
        <w:t>高灵敏太赫兹探测器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新型太赫兹探测器件</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太赫兹探测器阵列集成技术</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太赫兹探测器读出电路设计</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太赫兹探测器应用</w:t>
      </w:r>
      <w:r>
        <w:rPr>
          <w:rFonts w:hint="eastAsia" w:ascii="Times New Roman" w:hAnsi="Times New Roman" w:eastAsia="仿宋_GB2312" w:cs="Times New Roman"/>
          <w:sz w:val="28"/>
          <w:szCs w:val="28"/>
        </w:rPr>
        <w:t>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 </w:t>
      </w:r>
      <w:r>
        <w:rPr>
          <w:rFonts w:ascii="Times New Roman" w:hAnsi="Times New Roman" w:eastAsia="仿宋_GB2312" w:cs="Times New Roman"/>
          <w:b/>
          <w:bCs/>
          <w:sz w:val="28"/>
          <w:szCs w:val="28"/>
        </w:rPr>
        <w:t>太赫兹生物物理</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重点涵盖生物系统太赫兹物理原理与技术最新研究工作，包括但不限于：</w:t>
      </w:r>
      <w:r>
        <w:rPr>
          <w:rFonts w:ascii="Times New Roman" w:hAnsi="Times New Roman" w:eastAsia="仿宋_GB2312" w:cs="Times New Roman"/>
          <w:sz w:val="28"/>
          <w:szCs w:val="28"/>
        </w:rPr>
        <w:t>生物系统太赫兹电磁特性</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生物系统太赫兹波激励与传输技术</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生物系统太赫兹波产生与探测技术</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生物系统太赫兹量子理论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太赫兹电生理学</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生物系统等离子激元及应用</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太赫兹生物信息学等。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b/>
          <w:bCs/>
          <w:sz w:val="28"/>
          <w:szCs w:val="28"/>
        </w:rPr>
        <w:t>太赫兹生物医学</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重点涵盖太赫兹波在生物、医学、药学等相关领域的最新研究工作，包括但不限于：各类生物样本（如血液</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尿液</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细胞分子、组织、离体、活体）及药物的太赫兹检测，生物医学研究相关的原理、技术、算法、装置等。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5. </w:t>
      </w:r>
      <w:r>
        <w:rPr>
          <w:rFonts w:ascii="Times New Roman" w:hAnsi="Times New Roman" w:eastAsia="仿宋_GB2312" w:cs="Times New Roman"/>
          <w:b/>
          <w:bCs/>
          <w:sz w:val="28"/>
          <w:szCs w:val="28"/>
        </w:rPr>
        <w:t>太赫兹成像技术</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重点涵盖太赫兹及相关成像技术在生物、化学、医学、药学、材料等相关领域的最新研究工作，包括但不限于：太赫兹成像理论及方法、</w:t>
      </w:r>
      <w:r>
        <w:rPr>
          <w:rFonts w:ascii="Times New Roman" w:hAnsi="Times New Roman" w:eastAsia="仿宋_GB2312" w:cs="Times New Roman"/>
          <w:sz w:val="28"/>
          <w:szCs w:val="28"/>
        </w:rPr>
        <w:t>太赫兹生物成像</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太赫兹无损探测</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太赫兹图像分析技术</w:t>
      </w:r>
      <w:r>
        <w:rPr>
          <w:rFonts w:hint="eastAsia" w:ascii="Times New Roman" w:hAnsi="Times New Roman" w:eastAsia="仿宋_GB2312" w:cs="Times New Roman"/>
          <w:sz w:val="28"/>
          <w:szCs w:val="28"/>
        </w:rPr>
        <w:t>及</w:t>
      </w:r>
      <w:r>
        <w:rPr>
          <w:rFonts w:ascii="Times New Roman" w:hAnsi="Times New Roman" w:eastAsia="仿宋_GB2312" w:cs="Times New Roman"/>
          <w:sz w:val="28"/>
          <w:szCs w:val="28"/>
        </w:rPr>
        <w:t>其它先进成像技术（如红外、拉曼、磁共振等）</w:t>
      </w:r>
      <w:r>
        <w:rPr>
          <w:rFonts w:hint="eastAsia" w:ascii="Times New Roman" w:hAnsi="Times New Roman" w:eastAsia="仿宋_GB2312" w:cs="Times New Roman"/>
          <w:sz w:val="28"/>
          <w:szCs w:val="28"/>
        </w:rPr>
        <w:t>等</w:t>
      </w:r>
      <w:r>
        <w:rPr>
          <w:rFonts w:ascii="Times New Roman" w:hAnsi="Times New Roman" w:eastAsia="仿宋_GB2312" w:cs="Times New Roman"/>
          <w:sz w:val="28"/>
          <w:szCs w:val="28"/>
        </w:rPr>
        <w:t>。</w:t>
      </w:r>
    </w:p>
    <w:p>
      <w:pPr>
        <w:ind w:firstLine="561"/>
        <w:rPr>
          <w:rFonts w:ascii="宋体" w:hAnsi="宋体" w:cs="宋体"/>
          <w:sz w:val="28"/>
          <w:szCs w:val="28"/>
        </w:rPr>
      </w:pPr>
      <w:r>
        <w:rPr>
          <w:rFonts w:ascii="Times New Roman" w:hAnsi="Times New Roman" w:eastAsia="仿宋_GB2312" w:cs="Times New Roman"/>
          <w:sz w:val="28"/>
          <w:szCs w:val="28"/>
        </w:rPr>
        <w:t xml:space="preserve">6. </w:t>
      </w:r>
      <w:r>
        <w:rPr>
          <w:rFonts w:ascii="Times New Roman" w:hAnsi="Times New Roman" w:eastAsia="仿宋_GB2312" w:cs="Times New Roman"/>
          <w:b/>
          <w:bCs/>
          <w:sz w:val="28"/>
          <w:szCs w:val="28"/>
        </w:rPr>
        <w:t>太赫兹生物效应</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太赫兹波与多尺度的生物体系相互作用效应方面的最新研究工作，包括但不限于：太赫兹波作用下生物体系（分子、细胞、组织、动物模型）的响应检测与机理分析，太赫兹波生物体系相互作用的电磁学、统计学、量子生物学等机制。</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7. </w:t>
      </w:r>
      <w:r>
        <w:rPr>
          <w:rFonts w:ascii="Times New Roman" w:hAnsi="Times New Roman" w:eastAsia="仿宋_GB2312" w:cs="Times New Roman"/>
          <w:b/>
          <w:bCs/>
          <w:sz w:val="28"/>
          <w:szCs w:val="28"/>
        </w:rPr>
        <w:t>太赫兹强场</w:t>
      </w:r>
      <w:r>
        <w:rPr>
          <w:rFonts w:hint="eastAsia" w:ascii="Times New Roman" w:hAnsi="Times New Roman" w:eastAsia="仿宋_GB2312" w:cs="Times New Roman"/>
          <w:b/>
          <w:bCs/>
          <w:sz w:val="28"/>
          <w:szCs w:val="28"/>
        </w:rPr>
        <w:t>与</w:t>
      </w:r>
      <w:r>
        <w:rPr>
          <w:rFonts w:ascii="Times New Roman" w:hAnsi="Times New Roman" w:eastAsia="仿宋_GB2312" w:cs="Times New Roman"/>
          <w:b/>
          <w:bCs/>
          <w:sz w:val="28"/>
          <w:szCs w:val="28"/>
        </w:rPr>
        <w:t>光学</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重点涵盖与太赫兹光学有关的新原理、新技术、新方法、新材料等，包括但不限于：</w:t>
      </w:r>
      <w:r>
        <w:rPr>
          <w:rFonts w:ascii="Times New Roman" w:hAnsi="Times New Roman" w:eastAsia="仿宋_GB2312" w:cs="Times New Roman"/>
          <w:sz w:val="28"/>
          <w:szCs w:val="28"/>
        </w:rPr>
        <w:t>相干及强场太赫兹辐射源</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线性和非线性太赫兹光谱</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太赫兹波与物质相互作用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太赫兹量子光学</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太赫兹波在天文学中的应用</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太赫兹光学器件等</w:t>
      </w:r>
      <w:r>
        <w:rPr>
          <w:rFonts w:hint="eastAsia" w:ascii="Times New Roman" w:hAnsi="Times New Roman" w:eastAsia="仿宋_GB2312" w:cs="Times New Roman"/>
          <w:sz w:val="28"/>
          <w:szCs w:val="28"/>
        </w:rPr>
        <w:t>。</w:t>
      </w:r>
    </w:p>
    <w:p>
      <w:pPr>
        <w:spacing w:line="360" w:lineRule="auto"/>
        <w:ind w:firstLine="561"/>
      </w:pPr>
      <w:r>
        <w:rPr>
          <w:rFonts w:ascii="Times New Roman" w:hAnsi="Times New Roman" w:eastAsia="仿宋_GB2312" w:cs="Times New Roman"/>
          <w:sz w:val="28"/>
          <w:szCs w:val="28"/>
        </w:rPr>
        <w:t xml:space="preserve">8. </w:t>
      </w:r>
      <w:r>
        <w:rPr>
          <w:rFonts w:ascii="Times New Roman" w:hAnsi="Times New Roman" w:eastAsia="仿宋_GB2312" w:cs="Times New Roman"/>
          <w:b/>
          <w:bCs/>
          <w:sz w:val="28"/>
          <w:szCs w:val="28"/>
        </w:rPr>
        <w:t>太赫兹</w:t>
      </w:r>
      <w:r>
        <w:rPr>
          <w:rFonts w:hint="eastAsia" w:ascii="Times New Roman" w:hAnsi="Times New Roman" w:eastAsia="仿宋_GB2312" w:cs="Times New Roman"/>
          <w:b/>
          <w:bCs/>
          <w:sz w:val="28"/>
          <w:szCs w:val="28"/>
        </w:rPr>
        <w:t>科学与技术发展及应用展望</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旨在通过多学科交叉研讨与交流，分享新思想和新进展，获得新启发和新借鉴，助力太赫兹学科繁荣发展和创新驱动，包括但不限于：物理生物学 （如</w:t>
      </w:r>
      <w:r>
        <w:rPr>
          <w:rFonts w:ascii="Times New Roman" w:hAnsi="Times New Roman" w:eastAsia="仿宋_GB2312" w:cs="Times New Roman"/>
          <w:sz w:val="28"/>
          <w:szCs w:val="28"/>
        </w:rPr>
        <w:t>宏观量子效应</w:t>
      </w:r>
      <w:r>
        <w:rPr>
          <w:rFonts w:hint="eastAsia" w:ascii="Times New Roman" w:hAnsi="Times New Roman" w:eastAsia="仿宋_GB2312" w:cs="Times New Roman"/>
          <w:sz w:val="28"/>
          <w:szCs w:val="28"/>
        </w:rPr>
        <w:t>、电磁生物响应等）、</w:t>
      </w:r>
      <w:r>
        <w:rPr>
          <w:rFonts w:ascii="Times New Roman" w:hAnsi="Times New Roman" w:eastAsia="仿宋_GB2312" w:cs="Times New Roman"/>
          <w:sz w:val="28"/>
          <w:szCs w:val="28"/>
        </w:rPr>
        <w:t>微纳结构与灵敏探测</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神经科学与神经信号传导</w:t>
      </w:r>
      <w:r>
        <w:rPr>
          <w:rFonts w:hint="eastAsia" w:ascii="Times New Roman" w:hAnsi="Times New Roman" w:eastAsia="仿宋_GB2312" w:cs="Times New Roman"/>
          <w:sz w:val="28"/>
          <w:szCs w:val="28"/>
        </w:rPr>
        <w:t>（如光电信息与脑机接口、光遗传学等）和</w:t>
      </w:r>
      <w:r>
        <w:rPr>
          <w:rFonts w:ascii="Times New Roman" w:hAnsi="Times New Roman" w:eastAsia="仿宋_GB2312" w:cs="Times New Roman"/>
          <w:sz w:val="28"/>
          <w:szCs w:val="28"/>
        </w:rPr>
        <w:t>先进光源技术等。</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E3B7B"/>
    <w:rsid w:val="04497D6F"/>
    <w:rsid w:val="073F3C00"/>
    <w:rsid w:val="0A3556D7"/>
    <w:rsid w:val="0EFE0ADC"/>
    <w:rsid w:val="29A7225E"/>
    <w:rsid w:val="42EA571E"/>
    <w:rsid w:val="465C7051"/>
    <w:rsid w:val="55B31B4E"/>
    <w:rsid w:val="5D0E3B7B"/>
    <w:rsid w:val="6E9F5513"/>
    <w:rsid w:val="72553D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left="0" w:leftChars="0" w:firstLine="0" w:firstLineChars="0"/>
      <w:outlineLvl w:val="0"/>
    </w:pPr>
    <w:rPr>
      <w:kern w:val="44"/>
      <w:sz w:val="28"/>
    </w:rPr>
  </w:style>
  <w:style w:type="paragraph" w:styleId="3">
    <w:name w:val="heading 2"/>
    <w:basedOn w:val="1"/>
    <w:next w:val="1"/>
    <w:semiHidden/>
    <w:unhideWhenUsed/>
    <w:qFormat/>
    <w:uiPriority w:val="0"/>
    <w:pPr>
      <w:keepNext/>
      <w:keepLines/>
      <w:spacing w:line="413" w:lineRule="auto"/>
      <w:ind w:left="0" w:leftChars="0" w:firstLine="0" w:firstLineChars="0"/>
      <w:outlineLvl w:val="1"/>
    </w:pPr>
    <w:rPr>
      <w:rFonts w:ascii="Arial" w:hAnsi="Arial" w:eastAsia="楷体"/>
    </w:rPr>
  </w:style>
  <w:style w:type="paragraph" w:styleId="4">
    <w:name w:val="heading 3"/>
    <w:basedOn w:val="1"/>
    <w:next w:val="1"/>
    <w:semiHidden/>
    <w:unhideWhenUsed/>
    <w:qFormat/>
    <w:uiPriority w:val="0"/>
    <w:pPr>
      <w:keepNext/>
      <w:keepLines/>
      <w:spacing w:line="413" w:lineRule="auto"/>
      <w:ind w:firstLine="0" w:firstLineChars="0"/>
      <w:jc w:val="left"/>
      <w:outlineLvl w:val="2"/>
    </w:pPr>
    <w:rPr>
      <w:rFonts w:eastAsia="黑体"/>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note text"/>
    <w:basedOn w:val="1"/>
    <w:qFormat/>
    <w:uiPriority w:val="0"/>
    <w:pPr>
      <w:snapToGrid w:val="0"/>
      <w:jc w:val="left"/>
    </w:pPr>
    <w:rPr>
      <w:rFonts w:eastAsia="宋体" w:asciiTheme="minorAscii" w:hAnsiTheme="minorAscii"/>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作业标题"/>
    <w:basedOn w:val="1"/>
    <w:qFormat/>
    <w:uiPriority w:val="0"/>
    <w:rPr>
      <w:rFonts w:ascii="Calibri" w:hAnsi="Calibri" w:eastAsia="黑体"/>
      <w:sz w:val="36"/>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2021-02-09T04:21:00Z</dcterms:created>
  <dc:creator>李周白</dc:creator>
  <cp:lastModifiedBy>Janet.L</cp:lastModifiedBy>
  <dcterms:modified xsi:type="dcterms:W3CDTF">2021-02-09T04:55:01Z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A01287DCEB494CB6A85BB4590DD99DAD</vt:lpwstr>
  </property>
</Properties>
</file>